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25B" w:rsidRPr="003A2F3A" w:rsidRDefault="00821431" w:rsidP="00821431">
      <w:pPr>
        <w:jc w:val="center"/>
        <w:rPr>
          <w:rFonts w:ascii="Century Gothic" w:hAnsi="Century Gothic"/>
          <w:b/>
          <w:bCs/>
          <w:sz w:val="28"/>
        </w:rPr>
      </w:pPr>
      <w:r w:rsidRPr="003A2F3A">
        <w:rPr>
          <w:rFonts w:ascii="Century Gothic" w:hAnsi="Century Gothic"/>
          <w:b/>
          <w:bCs/>
          <w:sz w:val="28"/>
        </w:rPr>
        <w:t>ENTRADAS</w:t>
      </w:r>
    </w:p>
    <w:p w:rsidR="00821431" w:rsidRDefault="00821431" w:rsidP="00821431">
      <w:pPr>
        <w:rPr>
          <w:rFonts w:ascii="Century Gothic" w:hAnsi="Century Gothic"/>
        </w:rPr>
      </w:pPr>
      <w:r w:rsidRPr="00821431">
        <w:rPr>
          <w:rFonts w:ascii="Century Gothic" w:hAnsi="Century Gothic"/>
        </w:rPr>
        <w:t>En programación se denominan sentencias de entrada a aquellas que permiten enviar información desde el exterior al interior de un programa y sentencias de salida a aquellas que permiten enviar información desde el interior del programa al exterior.</w:t>
      </w:r>
    </w:p>
    <w:p w:rsidR="00821431" w:rsidRPr="00821431" w:rsidRDefault="00821431" w:rsidP="00821431">
      <w:pPr>
        <w:rPr>
          <w:rFonts w:ascii="Century Gothic" w:hAnsi="Century Gothic"/>
        </w:rPr>
      </w:pPr>
      <w:r w:rsidRPr="00821431">
        <w:rPr>
          <w:rFonts w:ascii="Century Gothic" w:hAnsi="Century Gothic"/>
        </w:rPr>
        <w:t>Las sentencias de entrada envían información desde el exterior al programa. Normalmente la información la suministra el usuario del programa a través del teclado y és</w:t>
      </w:r>
      <w:r>
        <w:rPr>
          <w:rFonts w:ascii="Century Gothic" w:hAnsi="Century Gothic"/>
        </w:rPr>
        <w:t>ta se almacena en una variable.</w:t>
      </w:r>
    </w:p>
    <w:p w:rsidR="00821431" w:rsidRDefault="00821431" w:rsidP="00821431">
      <w:pPr>
        <w:rPr>
          <w:rFonts w:ascii="Century Gothic" w:hAnsi="Century Gothic"/>
        </w:rPr>
      </w:pPr>
      <w:r w:rsidRPr="00821431">
        <w:rPr>
          <w:rFonts w:ascii="Century Gothic" w:hAnsi="Century Gothic"/>
        </w:rPr>
        <w:t>Para indicar en un organigrama una sentencia de entrada se necesitan dos cosas: una es el símbolo que representa la sentencia y otra es el lugar donde se va a almacenar la información de entrada, que se especifica por el nombre de una variable dentro de un símbolo</w:t>
      </w:r>
    </w:p>
    <w:p w:rsidR="00821431" w:rsidRPr="003A2F3A" w:rsidRDefault="00821431" w:rsidP="00821431">
      <w:pPr>
        <w:rPr>
          <w:rFonts w:ascii="Century Gothic" w:hAnsi="Century Gothic"/>
          <w:lang w:val="en-US"/>
        </w:rPr>
      </w:pPr>
      <w:r w:rsidRPr="003A2F3A">
        <w:rPr>
          <w:rFonts w:ascii="Century Gothic" w:hAnsi="Century Gothic"/>
          <w:lang w:val="en-US"/>
        </w:rPr>
        <w:t xml:space="preserve">FUENTE: </w:t>
      </w:r>
      <w:proofErr w:type="spellStart"/>
      <w:r w:rsidR="003A2F3A" w:rsidRPr="003A2F3A">
        <w:rPr>
          <w:rFonts w:ascii="Century Gothic" w:hAnsi="Century Gothic" w:cs="Arial"/>
          <w:color w:val="000000"/>
          <w:shd w:val="clear" w:color="auto" w:fill="FFFFFF"/>
          <w:lang w:val="en-US"/>
        </w:rPr>
        <w:t>Wikispaces</w:t>
      </w:r>
      <w:proofErr w:type="spellEnd"/>
      <w:r w:rsidR="003A2F3A" w:rsidRPr="003A2F3A">
        <w:rPr>
          <w:rFonts w:ascii="Century Gothic" w:hAnsi="Century Gothic" w:cs="Arial"/>
          <w:color w:val="000000"/>
          <w:shd w:val="clear" w:color="auto" w:fill="FFFFFF"/>
          <w:lang w:val="en-US"/>
        </w:rPr>
        <w:t>. Retrieved from https://algoritmiafordummies.wikispaces.com/4.+Sentencias+de+entrada+y+salida</w:t>
      </w:r>
    </w:p>
    <w:p w:rsidR="00821431" w:rsidRPr="00821431" w:rsidRDefault="00821431" w:rsidP="00821431">
      <w:pPr>
        <w:rPr>
          <w:rFonts w:ascii="Century Gothic" w:hAnsi="Century Gothic"/>
        </w:rPr>
      </w:pPr>
      <w:r w:rsidRPr="00821431">
        <w:rPr>
          <w:rFonts w:ascii="Century Gothic" w:hAnsi="Century Gothic"/>
        </w:rPr>
        <w:t xml:space="preserve">Entrada de Datos usando </w:t>
      </w:r>
      <w:proofErr w:type="spellStart"/>
      <w:r w:rsidRPr="00821431">
        <w:rPr>
          <w:rFonts w:ascii="Century Gothic" w:hAnsi="Century Gothic"/>
        </w:rPr>
        <w:t>cin</w:t>
      </w:r>
      <w:proofErr w:type="spellEnd"/>
    </w:p>
    <w:p w:rsidR="00821431" w:rsidRPr="00821431" w:rsidRDefault="00821431" w:rsidP="00821431">
      <w:pPr>
        <w:rPr>
          <w:rFonts w:ascii="Century Gothic" w:hAnsi="Century Gothic"/>
        </w:rPr>
      </w:pPr>
      <w:r w:rsidRPr="00821431">
        <w:rPr>
          <w:rFonts w:ascii="Century Gothic" w:hAnsi="Century Gothic"/>
        </w:rPr>
        <w:t xml:space="preserve">La instrucción </w:t>
      </w:r>
      <w:proofErr w:type="spellStart"/>
      <w:r w:rsidRPr="00821431">
        <w:rPr>
          <w:rFonts w:ascii="Century Gothic" w:hAnsi="Century Gothic"/>
        </w:rPr>
        <w:t>cin</w:t>
      </w:r>
      <w:proofErr w:type="spellEnd"/>
      <w:r w:rsidRPr="00821431">
        <w:rPr>
          <w:rFonts w:ascii="Century Gothic" w:hAnsi="Century Gothic"/>
        </w:rPr>
        <w:t xml:space="preserve"> asigna a alguna variable un va</w:t>
      </w:r>
      <w:r>
        <w:rPr>
          <w:rFonts w:ascii="Century Gothic" w:hAnsi="Century Gothic"/>
        </w:rPr>
        <w:t xml:space="preserve">lor proporcionado por medio del </w:t>
      </w:r>
      <w:r w:rsidRPr="00821431">
        <w:rPr>
          <w:rFonts w:ascii="Century Gothic" w:hAnsi="Century Gothic"/>
        </w:rPr>
        <w:t xml:space="preserve">teclado. La sintaxis de una sentencia que utilice </w:t>
      </w:r>
      <w:proofErr w:type="spellStart"/>
      <w:r w:rsidRPr="00821431">
        <w:rPr>
          <w:rFonts w:ascii="Century Gothic" w:hAnsi="Century Gothic"/>
        </w:rPr>
        <w:t>cin</w:t>
      </w:r>
      <w:proofErr w:type="spellEnd"/>
      <w:r w:rsidRPr="00821431">
        <w:rPr>
          <w:rFonts w:ascii="Century Gothic" w:hAnsi="Century Gothic"/>
        </w:rPr>
        <w:t xml:space="preserve"> es la siguiente:</w:t>
      </w:r>
    </w:p>
    <w:p w:rsidR="00821431" w:rsidRPr="00821431" w:rsidRDefault="00821431" w:rsidP="00821431">
      <w:pPr>
        <w:rPr>
          <w:rFonts w:ascii="Century Gothic" w:hAnsi="Century Gothic"/>
        </w:rPr>
      </w:pPr>
      <w:proofErr w:type="spellStart"/>
      <w:r w:rsidRPr="00821431">
        <w:rPr>
          <w:rFonts w:ascii="Century Gothic" w:hAnsi="Century Gothic"/>
        </w:rPr>
        <w:t>cin</w:t>
      </w:r>
      <w:proofErr w:type="spellEnd"/>
      <w:r w:rsidRPr="00821431">
        <w:rPr>
          <w:rFonts w:ascii="Century Gothic" w:hAnsi="Century Gothic"/>
        </w:rPr>
        <w:t xml:space="preserve">&gt;&gt; </w:t>
      </w:r>
      <w:proofErr w:type="spellStart"/>
      <w:r w:rsidRPr="00821431">
        <w:rPr>
          <w:rFonts w:ascii="Century Gothic" w:hAnsi="Century Gothic"/>
        </w:rPr>
        <w:t>nombre_de_variable</w:t>
      </w:r>
      <w:proofErr w:type="spellEnd"/>
      <w:r w:rsidRPr="00821431">
        <w:rPr>
          <w:rFonts w:ascii="Century Gothic" w:hAnsi="Century Gothic"/>
        </w:rPr>
        <w:t>;</w:t>
      </w:r>
    </w:p>
    <w:p w:rsidR="00821431" w:rsidRPr="00821431" w:rsidRDefault="00821431" w:rsidP="00821431">
      <w:pPr>
        <w:rPr>
          <w:rFonts w:ascii="Century Gothic" w:hAnsi="Century Gothic"/>
        </w:rPr>
      </w:pPr>
      <w:r w:rsidRPr="00821431">
        <w:rPr>
          <w:rFonts w:ascii="Century Gothic" w:hAnsi="Century Gothic"/>
        </w:rPr>
        <w:t>Observe que la sentencia termina con un pu</w:t>
      </w:r>
      <w:r>
        <w:rPr>
          <w:rFonts w:ascii="Century Gothic" w:hAnsi="Century Gothic"/>
        </w:rPr>
        <w:t xml:space="preserve">nto y coma. Observe también que </w:t>
      </w:r>
      <w:r w:rsidRPr="00821431">
        <w:rPr>
          <w:rFonts w:ascii="Century Gothic" w:hAnsi="Century Gothic"/>
        </w:rPr>
        <w:t xml:space="preserve">se utiliza el símbolo &gt;&gt; (dirección contraria </w:t>
      </w:r>
      <w:r>
        <w:rPr>
          <w:rFonts w:ascii="Century Gothic" w:hAnsi="Century Gothic"/>
        </w:rPr>
        <w:t xml:space="preserve">a la utilizada por </w:t>
      </w:r>
      <w:proofErr w:type="spellStart"/>
      <w:r>
        <w:rPr>
          <w:rFonts w:ascii="Century Gothic" w:hAnsi="Century Gothic"/>
        </w:rPr>
        <w:t>cout</w:t>
      </w:r>
      <w:proofErr w:type="spellEnd"/>
      <w:r>
        <w:rPr>
          <w:rFonts w:ascii="Century Gothic" w:hAnsi="Century Gothic"/>
        </w:rPr>
        <w:t xml:space="preserve">) que se </w:t>
      </w:r>
      <w:r w:rsidRPr="00821431">
        <w:rPr>
          <w:rFonts w:ascii="Century Gothic" w:hAnsi="Century Gothic"/>
        </w:rPr>
        <w:t>conoce como operador de extracción u operador extraer.</w:t>
      </w:r>
    </w:p>
    <w:p w:rsidR="00821431" w:rsidRDefault="00821431" w:rsidP="00821431">
      <w:pPr>
        <w:rPr>
          <w:rFonts w:ascii="Century Gothic" w:hAnsi="Century Gothic"/>
        </w:rPr>
      </w:pPr>
      <w:r w:rsidRPr="00821431">
        <w:rPr>
          <w:rFonts w:ascii="Century Gothic" w:hAnsi="Century Gothic"/>
        </w:rPr>
        <w:t xml:space="preserve">Cuando se esté ejecutando un programa, </w:t>
      </w:r>
      <w:r>
        <w:rPr>
          <w:rFonts w:ascii="Century Gothic" w:hAnsi="Century Gothic"/>
        </w:rPr>
        <w:t xml:space="preserve">una instrucción </w:t>
      </w:r>
      <w:proofErr w:type="spellStart"/>
      <w:r>
        <w:rPr>
          <w:rFonts w:ascii="Century Gothic" w:hAnsi="Century Gothic"/>
        </w:rPr>
        <w:t>cin</w:t>
      </w:r>
      <w:proofErr w:type="spellEnd"/>
      <w:r>
        <w:rPr>
          <w:rFonts w:ascii="Century Gothic" w:hAnsi="Century Gothic"/>
        </w:rPr>
        <w:t xml:space="preserve"> hará que el </w:t>
      </w:r>
      <w:r w:rsidRPr="00821431">
        <w:rPr>
          <w:rFonts w:ascii="Century Gothic" w:hAnsi="Century Gothic"/>
        </w:rPr>
        <w:t>programa se detenga solicitando al usuario del progr</w:t>
      </w:r>
      <w:r>
        <w:rPr>
          <w:rFonts w:ascii="Century Gothic" w:hAnsi="Century Gothic"/>
        </w:rPr>
        <w:t xml:space="preserve">ama que proporcione un </w:t>
      </w:r>
      <w:r w:rsidRPr="00821431">
        <w:rPr>
          <w:rFonts w:ascii="Century Gothic" w:hAnsi="Century Gothic"/>
        </w:rPr>
        <w:t xml:space="preserve">valor a través del teclado. El usuario tendrá </w:t>
      </w:r>
      <w:r>
        <w:rPr>
          <w:rFonts w:ascii="Century Gothic" w:hAnsi="Century Gothic"/>
        </w:rPr>
        <w:t xml:space="preserve">entonces que teclear el valor y </w:t>
      </w:r>
      <w:r w:rsidRPr="00821431">
        <w:rPr>
          <w:rFonts w:ascii="Century Gothic" w:hAnsi="Century Gothic"/>
        </w:rPr>
        <w:t xml:space="preserve">presionar la tecla </w:t>
      </w:r>
      <w:proofErr w:type="spellStart"/>
      <w:r w:rsidRPr="00821431">
        <w:rPr>
          <w:rFonts w:ascii="Century Gothic" w:hAnsi="Century Gothic"/>
        </w:rPr>
        <w:t>Enter</w:t>
      </w:r>
      <w:proofErr w:type="spellEnd"/>
      <w:r w:rsidRPr="00821431">
        <w:rPr>
          <w:rFonts w:ascii="Century Gothic" w:hAnsi="Century Gothic"/>
        </w:rPr>
        <w:t>. El programa no lee los v</w:t>
      </w:r>
      <w:r>
        <w:rPr>
          <w:rFonts w:ascii="Century Gothic" w:hAnsi="Century Gothic"/>
        </w:rPr>
        <w:t xml:space="preserve">alores hasta que la tecla </w:t>
      </w:r>
      <w:proofErr w:type="spellStart"/>
      <w:r>
        <w:rPr>
          <w:rFonts w:ascii="Century Gothic" w:hAnsi="Century Gothic"/>
        </w:rPr>
        <w:t>Enter</w:t>
      </w:r>
      <w:proofErr w:type="spellEnd"/>
      <w:r>
        <w:rPr>
          <w:rFonts w:ascii="Century Gothic" w:hAnsi="Century Gothic"/>
        </w:rPr>
        <w:t xml:space="preserve"> </w:t>
      </w:r>
      <w:r w:rsidRPr="00821431">
        <w:rPr>
          <w:rFonts w:ascii="Century Gothic" w:hAnsi="Century Gothic"/>
        </w:rPr>
        <w:t>es presionada. Para proporcionar datos sólo es necesario utilizar la inst</w:t>
      </w:r>
      <w:r>
        <w:rPr>
          <w:rFonts w:ascii="Century Gothic" w:hAnsi="Century Gothic"/>
        </w:rPr>
        <w:t xml:space="preserve">rucción </w:t>
      </w:r>
      <w:proofErr w:type="spellStart"/>
      <w:r w:rsidRPr="00821431">
        <w:rPr>
          <w:rFonts w:ascii="Century Gothic" w:hAnsi="Century Gothic"/>
        </w:rPr>
        <w:t>cin</w:t>
      </w:r>
      <w:proofErr w:type="spellEnd"/>
      <w:r w:rsidRPr="00821431">
        <w:rPr>
          <w:rFonts w:ascii="Century Gothic" w:hAnsi="Century Gothic"/>
        </w:rPr>
        <w:t xml:space="preserve">. Sin embargo, la instrucción </w:t>
      </w:r>
      <w:proofErr w:type="spellStart"/>
      <w:r w:rsidRPr="00821431">
        <w:rPr>
          <w:rFonts w:ascii="Century Gothic" w:hAnsi="Century Gothic"/>
        </w:rPr>
        <w:t>cin</w:t>
      </w:r>
      <w:proofErr w:type="spellEnd"/>
      <w:r w:rsidRPr="00821431">
        <w:rPr>
          <w:rFonts w:ascii="Century Gothic" w:hAnsi="Century Gothic"/>
        </w:rPr>
        <w:t xml:space="preserve"> no env</w:t>
      </w:r>
      <w:r>
        <w:rPr>
          <w:rFonts w:ascii="Century Gothic" w:hAnsi="Century Gothic"/>
        </w:rPr>
        <w:t xml:space="preserve">ía por sí sola ningún mensaje a </w:t>
      </w:r>
      <w:r w:rsidRPr="00821431">
        <w:rPr>
          <w:rFonts w:ascii="Century Gothic" w:hAnsi="Century Gothic"/>
        </w:rPr>
        <w:t xml:space="preserve">pantalla. Es por ello que la opción </w:t>
      </w:r>
      <w:proofErr w:type="spellStart"/>
      <w:r w:rsidRPr="00821431">
        <w:rPr>
          <w:rFonts w:ascii="Century Gothic" w:hAnsi="Century Gothic"/>
        </w:rPr>
        <w:t>cin</w:t>
      </w:r>
      <w:proofErr w:type="spellEnd"/>
      <w:r w:rsidRPr="00821431">
        <w:rPr>
          <w:rFonts w:ascii="Century Gothic" w:hAnsi="Century Gothic"/>
        </w:rPr>
        <w:t xml:space="preserve"> por sí sola</w:t>
      </w:r>
      <w:r>
        <w:rPr>
          <w:rFonts w:ascii="Century Gothic" w:hAnsi="Century Gothic"/>
        </w:rPr>
        <w:t xml:space="preserve"> sería difícil de usar, pues el </w:t>
      </w:r>
      <w:r w:rsidRPr="00821431">
        <w:rPr>
          <w:rFonts w:ascii="Century Gothic" w:hAnsi="Century Gothic"/>
        </w:rPr>
        <w:t>usuario del programa tendría que sabe</w:t>
      </w:r>
      <w:r>
        <w:rPr>
          <w:rFonts w:ascii="Century Gothic" w:hAnsi="Century Gothic"/>
        </w:rPr>
        <w:t xml:space="preserve">r el orden en el cual tiene que </w:t>
      </w:r>
      <w:r w:rsidRPr="00821431">
        <w:rPr>
          <w:rFonts w:ascii="Century Gothic" w:hAnsi="Century Gothic"/>
        </w:rPr>
        <w:t xml:space="preserve">proporcionar los datos del programa. </w:t>
      </w:r>
    </w:p>
    <w:p w:rsidR="00821431" w:rsidRPr="003A2F3A" w:rsidRDefault="00821431" w:rsidP="00821431">
      <w:pPr>
        <w:rPr>
          <w:rFonts w:ascii="Century Gothic" w:hAnsi="Century Gothic"/>
          <w:lang w:val="en-US"/>
        </w:rPr>
      </w:pPr>
      <w:r w:rsidRPr="003A2F3A">
        <w:rPr>
          <w:rFonts w:ascii="Century Gothic" w:hAnsi="Century Gothic"/>
          <w:lang w:val="en-US"/>
        </w:rPr>
        <w:t xml:space="preserve">FUENTE: </w:t>
      </w:r>
      <w:r w:rsidR="003A2F3A" w:rsidRPr="003A2F3A">
        <w:rPr>
          <w:rFonts w:ascii="Century Gothic" w:hAnsi="Century Gothic" w:cs="Arial"/>
          <w:color w:val="000000"/>
          <w:shd w:val="clear" w:color="auto" w:fill="FFFFFF"/>
          <w:lang w:val="en-US"/>
        </w:rPr>
        <w:t>Retrieved from http://www.iqcelaya.itc.mx/~vicente/Programacion/EstEntSal.pdf</w:t>
      </w:r>
    </w:p>
    <w:p w:rsidR="00821431" w:rsidRPr="00821431" w:rsidRDefault="00821431" w:rsidP="00821431">
      <w:pPr>
        <w:rPr>
          <w:rFonts w:ascii="Century Gothic" w:hAnsi="Century Gothic"/>
        </w:rPr>
      </w:pPr>
      <w:r>
        <w:rPr>
          <w:rFonts w:ascii="Century Gothic" w:hAnsi="Century Gothic"/>
        </w:rPr>
        <w:t>En programación se denomina sentencias de entrada a aquellas qu</w:t>
      </w:r>
      <w:r w:rsidR="003A777C">
        <w:rPr>
          <w:rFonts w:ascii="Century Gothic" w:hAnsi="Century Gothic"/>
        </w:rPr>
        <w:t>e permiten enviar in</w:t>
      </w:r>
      <w:r>
        <w:rPr>
          <w:rFonts w:ascii="Century Gothic" w:hAnsi="Century Gothic"/>
        </w:rPr>
        <w:t>form</w:t>
      </w:r>
      <w:r w:rsidRPr="00821431">
        <w:rPr>
          <w:rFonts w:ascii="Century Gothic" w:hAnsi="Century Gothic"/>
        </w:rPr>
        <w:t>ación desde el exter</w:t>
      </w:r>
      <w:r>
        <w:rPr>
          <w:rFonts w:ascii="Century Gothic" w:hAnsi="Century Gothic"/>
        </w:rPr>
        <w:t>ior al interior de un program</w:t>
      </w:r>
      <w:r w:rsidRPr="00821431">
        <w:rPr>
          <w:rFonts w:ascii="Century Gothic" w:hAnsi="Century Gothic"/>
        </w:rPr>
        <w:t>a y</w:t>
      </w:r>
    </w:p>
    <w:p w:rsidR="00821431" w:rsidRDefault="003A777C" w:rsidP="003A777C">
      <w:pPr>
        <w:rPr>
          <w:rFonts w:ascii="Century Gothic" w:hAnsi="Century Gothic"/>
        </w:rPr>
      </w:pPr>
      <w:r>
        <w:rPr>
          <w:rFonts w:ascii="Century Gothic" w:hAnsi="Century Gothic"/>
        </w:rPr>
        <w:t>Para indicar en un organigrama una sentencia de entrada se necesitan dos cosas: una es el símbolo que represen</w:t>
      </w:r>
      <w:r w:rsidRPr="003A777C">
        <w:rPr>
          <w:rFonts w:ascii="Century Gothic" w:hAnsi="Century Gothic"/>
        </w:rPr>
        <w:t>ta la s</w:t>
      </w:r>
      <w:r>
        <w:rPr>
          <w:rFonts w:ascii="Century Gothic" w:hAnsi="Century Gothic"/>
        </w:rPr>
        <w:t>entencia y otra es el lugar don de se va a almacen</w:t>
      </w:r>
      <w:r w:rsidRPr="003A777C">
        <w:rPr>
          <w:rFonts w:ascii="Century Gothic" w:hAnsi="Century Gothic"/>
        </w:rPr>
        <w:t>ar la in</w:t>
      </w:r>
      <w:r>
        <w:rPr>
          <w:rFonts w:ascii="Century Gothic" w:hAnsi="Century Gothic"/>
        </w:rPr>
        <w:t xml:space="preserve"> formación de entrada. El símbolo de la sentencia se representa en la figura y el lugar don de se va a guardar la información se especifica por el nombre de una variable qu</w:t>
      </w:r>
      <w:r w:rsidRPr="003A777C">
        <w:rPr>
          <w:rFonts w:ascii="Century Gothic" w:hAnsi="Century Gothic"/>
        </w:rPr>
        <w:t>e est</w:t>
      </w:r>
      <w:r>
        <w:rPr>
          <w:rFonts w:ascii="Century Gothic" w:hAnsi="Century Gothic"/>
        </w:rPr>
        <w:t>á dentro del sím</w:t>
      </w:r>
      <w:r w:rsidRPr="003A777C">
        <w:rPr>
          <w:rFonts w:ascii="Century Gothic" w:hAnsi="Century Gothic"/>
        </w:rPr>
        <w:t>b</w:t>
      </w:r>
      <w:bookmarkStart w:id="0" w:name="_GoBack"/>
      <w:bookmarkEnd w:id="0"/>
      <w:r w:rsidRPr="003A777C">
        <w:rPr>
          <w:rFonts w:ascii="Century Gothic" w:hAnsi="Century Gothic"/>
        </w:rPr>
        <w:t>olo.</w:t>
      </w:r>
    </w:p>
    <w:p w:rsidR="003A777C" w:rsidRPr="00821431" w:rsidRDefault="003A777C" w:rsidP="003A777C">
      <w:pPr>
        <w:rPr>
          <w:rFonts w:ascii="Century Gothic" w:hAnsi="Century Gothic"/>
        </w:rPr>
      </w:pPr>
      <w:r w:rsidRPr="003A2F3A">
        <w:rPr>
          <w:rFonts w:ascii="Century Gothic" w:hAnsi="Century Gothic"/>
        </w:rPr>
        <w:lastRenderedPageBreak/>
        <w:t xml:space="preserve">FUENTE: </w:t>
      </w:r>
      <w:r w:rsidR="003A2F3A" w:rsidRPr="003A2F3A">
        <w:rPr>
          <w:rFonts w:ascii="Century Gothic" w:hAnsi="Century Gothic" w:cs="Arial"/>
          <w:color w:val="000000"/>
          <w:shd w:val="clear" w:color="auto" w:fill="FFFFFF"/>
        </w:rPr>
        <w:t xml:space="preserve">Fidalgo Blanco, Á. </w:t>
      </w:r>
      <w:proofErr w:type="spellStart"/>
      <w:r w:rsidR="003A2F3A" w:rsidRPr="003A2F3A">
        <w:rPr>
          <w:rFonts w:ascii="Century Gothic" w:hAnsi="Century Gothic" w:cs="Arial"/>
          <w:color w:val="000000"/>
          <w:shd w:val="clear" w:color="auto" w:fill="FFFFFF"/>
        </w:rPr>
        <w:t>Retrieved</w:t>
      </w:r>
      <w:proofErr w:type="spellEnd"/>
      <w:r w:rsidR="003A2F3A" w:rsidRPr="003A2F3A">
        <w:rPr>
          <w:rFonts w:ascii="Century Gothic" w:hAnsi="Century Gothic" w:cs="Arial"/>
          <w:color w:val="000000"/>
          <w:shd w:val="clear" w:color="auto" w:fill="FFFFFF"/>
        </w:rPr>
        <w:t xml:space="preserve"> </w:t>
      </w:r>
      <w:proofErr w:type="spellStart"/>
      <w:r w:rsidR="003A2F3A" w:rsidRPr="003A2F3A">
        <w:rPr>
          <w:rFonts w:ascii="Century Gothic" w:hAnsi="Century Gothic" w:cs="Arial"/>
          <w:color w:val="000000"/>
          <w:shd w:val="clear" w:color="auto" w:fill="FFFFFF"/>
        </w:rPr>
        <w:t>from</w:t>
      </w:r>
      <w:proofErr w:type="spellEnd"/>
      <w:r w:rsidR="003A2F3A" w:rsidRPr="003A2F3A">
        <w:rPr>
          <w:rFonts w:ascii="Century Gothic" w:hAnsi="Century Gothic" w:cs="Arial"/>
          <w:color w:val="000000"/>
          <w:shd w:val="clear" w:color="auto" w:fill="FFFFFF"/>
        </w:rPr>
        <w:t xml:space="preserve"> https://innovacioneducativa.files.wordpress.com/2012/10/sentencias-de-entrada-y-salida.pdf</w:t>
      </w:r>
    </w:p>
    <w:sectPr w:rsidR="003A777C" w:rsidRPr="00821431" w:rsidSect="00821431">
      <w:footerReference w:type="default" r:id="rId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431" w:rsidRDefault="00821431" w:rsidP="00821431">
      <w:pPr>
        <w:spacing w:after="0" w:line="240" w:lineRule="auto"/>
      </w:pPr>
      <w:r>
        <w:separator/>
      </w:r>
    </w:p>
  </w:endnote>
  <w:endnote w:type="continuationSeparator" w:id="0">
    <w:p w:rsidR="00821431" w:rsidRDefault="00821431" w:rsidP="00821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F3A" w:rsidRDefault="003A2F3A">
    <w:pPr>
      <w:pStyle w:val="Piedepgina"/>
    </w:pPr>
    <w:r w:rsidRPr="003A2F3A">
      <mc:AlternateContent>
        <mc:Choice Requires="wps">
          <w:drawing>
            <wp:anchor distT="0" distB="0" distL="114300" distR="114300" simplePos="0" relativeHeight="251641856" behindDoc="0" locked="0" layoutInCell="1" allowOverlap="1" wp14:anchorId="358548B8" wp14:editId="554395F5">
              <wp:simplePos x="0" y="0"/>
              <wp:positionH relativeFrom="column">
                <wp:posOffset>-390525</wp:posOffset>
              </wp:positionH>
              <wp:positionV relativeFrom="paragraph">
                <wp:posOffset>-20320</wp:posOffset>
              </wp:positionV>
              <wp:extent cx="1089025" cy="484505"/>
              <wp:effectExtent l="19050" t="19050" r="15875" b="29845"/>
              <wp:wrapNone/>
              <wp:docPr id="1" name="Flecha: a la der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089025" cy="484505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269C2E7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Flecha: a la derecha 1" o:spid="_x0000_s1026" type="#_x0000_t13" style="position:absolute;margin-left:-30.75pt;margin-top:-1.6pt;width:85.75pt;height:38.15pt;flip:x;z-index: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" adj="16795" fillcolor="#4f81bd [3204]" strokecolor="#243f60 [1604]" strokeweight="2pt"/>
          </w:pict>
        </mc:Fallback>
      </mc:AlternateContent>
    </w:r>
    <w:r w:rsidRPr="003A2F3A">
      <mc:AlternateContent>
        <mc:Choice Requires="wps">
          <w:drawing>
            <wp:anchor distT="0" distB="0" distL="114300" distR="114300" simplePos="0" relativeHeight="251672576" behindDoc="0" locked="0" layoutInCell="1" allowOverlap="1" wp14:anchorId="5C59FDB7" wp14:editId="03672AE7">
              <wp:simplePos x="0" y="0"/>
              <wp:positionH relativeFrom="column">
                <wp:posOffset>5588000</wp:posOffset>
              </wp:positionH>
              <wp:positionV relativeFrom="paragraph">
                <wp:posOffset>-20320</wp:posOffset>
              </wp:positionV>
              <wp:extent cx="1016000" cy="484505"/>
              <wp:effectExtent l="0" t="19050" r="31750" b="29845"/>
              <wp:wrapNone/>
              <wp:docPr id="2" name="Flecha: a la derech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16000" cy="484505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B5D1D6F" id="Flecha: a la derecha 2" o:spid="_x0000_s1026" type="#_x0000_t13" style="position:absolute;margin-left:440pt;margin-top:-1.6pt;width:80pt;height:38.1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" adj="16450" fillcolor="#4f81bd [3204]" strokecolor="#243f60 [1604]" strokeweight="2pt"/>
          </w:pict>
        </mc:Fallback>
      </mc:AlternateContent>
    </w:r>
    <w:r w:rsidRPr="003A2F3A">
      <mc:AlternateContent>
        <mc:Choice Requires="wps">
          <w:drawing>
            <wp:anchor distT="0" distB="0" distL="114300" distR="114300" simplePos="0" relativeHeight="251703296" behindDoc="0" locked="0" layoutInCell="1" allowOverlap="1" wp14:anchorId="2DBBD6B5" wp14:editId="1A28BC3E">
              <wp:simplePos x="0" y="0"/>
              <wp:positionH relativeFrom="column">
                <wp:posOffset>2756535</wp:posOffset>
              </wp:positionH>
              <wp:positionV relativeFrom="paragraph">
                <wp:posOffset>-39370</wp:posOffset>
              </wp:positionV>
              <wp:extent cx="633095" cy="542925"/>
              <wp:effectExtent l="0" t="0" r="14605" b="28575"/>
              <wp:wrapNone/>
              <wp:docPr id="3" name="Pergamino: vertical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3095" cy="542925"/>
                      </a:xfrm>
                      <a:prstGeom prst="verticalScroll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DEADAA"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Pergamino: vertical 3" o:spid="_x0000_s1026" type="#_x0000_t97" style="position:absolute;margin-left:217.05pt;margin-top:-3.1pt;width:49.85pt;height:42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" fillcolor="#4f81bd [3204]" strokecolor="#243f60 [1604]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431" w:rsidRDefault="00821431" w:rsidP="00821431">
      <w:pPr>
        <w:spacing w:after="0" w:line="240" w:lineRule="auto"/>
      </w:pPr>
      <w:r>
        <w:separator/>
      </w:r>
    </w:p>
  </w:footnote>
  <w:footnote w:type="continuationSeparator" w:id="0">
    <w:p w:rsidR="00821431" w:rsidRDefault="00821431" w:rsidP="008214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498"/>
    <w:rsid w:val="003A2F3A"/>
    <w:rsid w:val="003A777C"/>
    <w:rsid w:val="006D46FA"/>
    <w:rsid w:val="00821431"/>
    <w:rsid w:val="009957DC"/>
    <w:rsid w:val="00C87498"/>
    <w:rsid w:val="00D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27761"/>
  <w15:docId w15:val="{C2B8CC0D-FE54-4512-A098-E63C1F607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14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1431"/>
  </w:style>
  <w:style w:type="paragraph" w:styleId="Piedepgina">
    <w:name w:val="footer"/>
    <w:basedOn w:val="Normal"/>
    <w:link w:val="PiedepginaCar"/>
    <w:uiPriority w:val="99"/>
    <w:unhideWhenUsed/>
    <w:rsid w:val="008214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1431"/>
  </w:style>
  <w:style w:type="character" w:styleId="Hipervnculo">
    <w:name w:val="Hyperlink"/>
    <w:basedOn w:val="Fuentedeprrafopredeter"/>
    <w:uiPriority w:val="99"/>
    <w:unhideWhenUsed/>
    <w:rsid w:val="008214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404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kike</dc:creator>
  <cp:lastModifiedBy>EQUIPO</cp:lastModifiedBy>
  <cp:revision>3</cp:revision>
  <dcterms:created xsi:type="dcterms:W3CDTF">2017-04-08T01:19:00Z</dcterms:created>
  <dcterms:modified xsi:type="dcterms:W3CDTF">2019-09-14T23:54:00Z</dcterms:modified>
</cp:coreProperties>
</file>